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1" w:rsidRPr="00D840AF" w:rsidRDefault="009F5D2A" w:rsidP="00255331">
      <w:pPr>
        <w:rPr>
          <w:rFonts w:asciiTheme="minorHAnsi" w:hAnsiTheme="minorHAnsi" w:cstheme="minorHAnsi"/>
          <w:b/>
          <w:sz w:val="28"/>
          <w:szCs w:val="28"/>
        </w:rPr>
      </w:pPr>
      <w:r w:rsidRPr="00D840AF">
        <w:rPr>
          <w:rFonts w:asciiTheme="minorHAnsi" w:hAnsiTheme="minorHAnsi" w:cstheme="minorHAnsi"/>
          <w:b/>
          <w:sz w:val="28"/>
          <w:szCs w:val="28"/>
        </w:rPr>
        <w:t xml:space="preserve">College of Engineering </w:t>
      </w:r>
      <w:r w:rsidR="00255331" w:rsidRPr="00D840AF">
        <w:rPr>
          <w:rFonts w:asciiTheme="minorHAnsi" w:hAnsiTheme="minorHAnsi" w:cstheme="minorHAnsi"/>
          <w:b/>
          <w:sz w:val="28"/>
          <w:szCs w:val="28"/>
        </w:rPr>
        <w:t>Adjunct and Visiting Research Faculty Appointments</w:t>
      </w:r>
    </w:p>
    <w:p w:rsidR="00255331" w:rsidRPr="00D840AF" w:rsidRDefault="00255331" w:rsidP="00255331">
      <w:pPr>
        <w:rPr>
          <w:rFonts w:asciiTheme="minorHAnsi" w:hAnsiTheme="minorHAnsi" w:cstheme="minorHAnsi"/>
          <w:sz w:val="24"/>
          <w:szCs w:val="24"/>
        </w:rPr>
      </w:pPr>
      <w:r w:rsidRPr="00D840AF">
        <w:rPr>
          <w:rFonts w:asciiTheme="minorHAnsi" w:hAnsiTheme="minorHAnsi" w:cstheme="minorHAnsi"/>
          <w:sz w:val="24"/>
          <w:szCs w:val="24"/>
        </w:rPr>
        <w:t xml:space="preserve">These appointments, also known as supplemental research faculty, consist of all ranks of Adjunct Research Faculty and all ranks of Visiting Research Faculty. </w:t>
      </w:r>
      <w:bookmarkStart w:id="0" w:name="_Toc132781570"/>
      <w:bookmarkStart w:id="1" w:name="_Toc149988629"/>
    </w:p>
    <w:p w:rsidR="00255331" w:rsidRPr="00D840AF" w:rsidRDefault="00255331" w:rsidP="00C76F2B">
      <w:pPr>
        <w:spacing w:after="0"/>
        <w:rPr>
          <w:rFonts w:asciiTheme="minorHAnsi" w:hAnsiTheme="minorHAnsi" w:cstheme="minorHAnsi"/>
          <w:b/>
          <w:sz w:val="26"/>
          <w:szCs w:val="26"/>
        </w:rPr>
      </w:pPr>
      <w:r w:rsidRPr="00D840AF">
        <w:rPr>
          <w:rFonts w:asciiTheme="minorHAnsi" w:hAnsiTheme="minorHAnsi" w:cstheme="minorHAnsi"/>
          <w:b/>
          <w:sz w:val="26"/>
          <w:szCs w:val="26"/>
        </w:rPr>
        <w:t>Adjunct Research Faculty</w:t>
      </w:r>
      <w:bookmarkEnd w:id="0"/>
      <w:bookmarkEnd w:id="1"/>
    </w:p>
    <w:p w:rsidR="00255331" w:rsidRPr="00D840AF" w:rsidRDefault="00255331" w:rsidP="00255331">
      <w:pPr>
        <w:rPr>
          <w:rFonts w:asciiTheme="minorHAnsi" w:hAnsiTheme="minorHAnsi" w:cstheme="minorHAnsi"/>
          <w:sz w:val="24"/>
          <w:szCs w:val="24"/>
        </w:rPr>
      </w:pPr>
      <w:r w:rsidRPr="00D840AF">
        <w:rPr>
          <w:rFonts w:asciiTheme="minorHAnsi" w:hAnsiTheme="minorHAnsi" w:cstheme="minorHAnsi"/>
          <w:sz w:val="24"/>
          <w:szCs w:val="24"/>
        </w:rPr>
        <w:t xml:space="preserve">Adjunct research faculty appointments are used when an individual's primary employment responsibilities lie outside the University. </w:t>
      </w:r>
      <w:r w:rsidR="00C61A53">
        <w:rPr>
          <w:rFonts w:asciiTheme="minorHAnsi" w:hAnsiTheme="minorHAnsi" w:cstheme="minorHAnsi"/>
          <w:sz w:val="24"/>
          <w:szCs w:val="24"/>
        </w:rPr>
        <w:t xml:space="preserve"> </w:t>
      </w:r>
      <w:r w:rsidRPr="00D840AF">
        <w:rPr>
          <w:rFonts w:asciiTheme="minorHAnsi" w:hAnsiTheme="minorHAnsi" w:cstheme="minorHAnsi"/>
          <w:sz w:val="24"/>
          <w:szCs w:val="24"/>
        </w:rPr>
        <w:t xml:space="preserve">An adjunct faculty appointment indicates that the individual is working for a limited, part-time portion of his/her work effort on research. Appointing units may offer adjunct appointments at any research faculty rank, consistent with the person's professional qualifications as specified in this document. </w:t>
      </w:r>
      <w:r w:rsidR="00C61A53">
        <w:rPr>
          <w:rFonts w:asciiTheme="minorHAnsi" w:hAnsiTheme="minorHAnsi" w:cstheme="minorHAnsi"/>
          <w:sz w:val="24"/>
          <w:szCs w:val="24"/>
        </w:rPr>
        <w:t xml:space="preserve"> </w:t>
      </w:r>
      <w:r w:rsidRPr="00D840AF">
        <w:rPr>
          <w:rFonts w:asciiTheme="minorHAnsi" w:hAnsiTheme="minorHAnsi" w:cstheme="minorHAnsi"/>
          <w:sz w:val="24"/>
          <w:szCs w:val="24"/>
        </w:rPr>
        <w:t xml:space="preserve">Adjunct appointments are for one year or less in duration. </w:t>
      </w:r>
      <w:r w:rsidR="00C61A53">
        <w:rPr>
          <w:rFonts w:asciiTheme="minorHAnsi" w:hAnsiTheme="minorHAnsi" w:cstheme="minorHAnsi"/>
          <w:sz w:val="24"/>
          <w:szCs w:val="24"/>
        </w:rPr>
        <w:t xml:space="preserve"> </w:t>
      </w:r>
      <w:r w:rsidRPr="00D840AF">
        <w:rPr>
          <w:rFonts w:asciiTheme="minorHAnsi" w:hAnsiTheme="minorHAnsi" w:cstheme="minorHAnsi"/>
          <w:sz w:val="24"/>
          <w:szCs w:val="24"/>
        </w:rPr>
        <w:t>By definition these appointments must be less than 100%.  No upper or lower limits are set, but appointments that fall in the range of 25% to 50% are expected. Continuation of Adjunct Research Faculty appointments are reviewed by the AD</w:t>
      </w:r>
      <w:r w:rsidR="007E5B96">
        <w:rPr>
          <w:rFonts w:asciiTheme="minorHAnsi" w:hAnsiTheme="minorHAnsi" w:cstheme="minorHAnsi"/>
          <w:sz w:val="24"/>
          <w:szCs w:val="24"/>
        </w:rPr>
        <w:t>AA</w:t>
      </w:r>
      <w:r w:rsidRPr="00D840AF">
        <w:rPr>
          <w:rFonts w:asciiTheme="minorHAnsi" w:hAnsiTheme="minorHAnsi" w:cstheme="minorHAnsi"/>
          <w:sz w:val="24"/>
          <w:szCs w:val="24"/>
        </w:rPr>
        <w:t>.</w:t>
      </w:r>
    </w:p>
    <w:p w:rsidR="00255331" w:rsidRPr="00D840AF" w:rsidRDefault="00255331" w:rsidP="00C76F2B">
      <w:pPr>
        <w:spacing w:after="0"/>
        <w:rPr>
          <w:rFonts w:asciiTheme="minorHAnsi" w:hAnsiTheme="minorHAnsi" w:cstheme="minorHAnsi"/>
          <w:sz w:val="26"/>
          <w:szCs w:val="26"/>
        </w:rPr>
      </w:pPr>
      <w:bookmarkStart w:id="2" w:name="_Toc132781571"/>
      <w:bookmarkStart w:id="3" w:name="_Toc149988630"/>
      <w:r w:rsidRPr="00D840AF">
        <w:rPr>
          <w:rFonts w:asciiTheme="minorHAnsi" w:hAnsiTheme="minorHAnsi" w:cstheme="minorHAnsi"/>
          <w:b/>
          <w:sz w:val="26"/>
          <w:szCs w:val="26"/>
        </w:rPr>
        <w:t>Visiting Research Faculty</w:t>
      </w:r>
      <w:bookmarkEnd w:id="2"/>
      <w:bookmarkEnd w:id="3"/>
    </w:p>
    <w:p w:rsidR="00255331" w:rsidRPr="00D840AF" w:rsidRDefault="00255331" w:rsidP="00C76F2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840AF">
        <w:rPr>
          <w:rFonts w:asciiTheme="minorHAnsi" w:hAnsiTheme="minorHAnsi" w:cstheme="minorHAnsi"/>
          <w:sz w:val="24"/>
          <w:szCs w:val="24"/>
        </w:rPr>
        <w:t xml:space="preserve">Visiting research faculty appointments are for scholars visiting the University for a predetermined time (one year or less) to conduct research. </w:t>
      </w:r>
      <w:r w:rsidR="00C61A53">
        <w:rPr>
          <w:rFonts w:asciiTheme="minorHAnsi" w:hAnsiTheme="minorHAnsi" w:cstheme="minorHAnsi"/>
          <w:sz w:val="24"/>
          <w:szCs w:val="24"/>
        </w:rPr>
        <w:t xml:space="preserve"> </w:t>
      </w:r>
      <w:r w:rsidRPr="00D840AF">
        <w:rPr>
          <w:rFonts w:asciiTheme="minorHAnsi" w:hAnsiTheme="minorHAnsi" w:cstheme="minorHAnsi"/>
          <w:sz w:val="24"/>
          <w:szCs w:val="24"/>
        </w:rPr>
        <w:t>Typically such an individual holds his/her primary appointment at another academic/research institution, and the appointing unit expects him/her to return to that position.</w:t>
      </w:r>
      <w:r w:rsidR="00C61A53">
        <w:rPr>
          <w:rFonts w:asciiTheme="minorHAnsi" w:hAnsiTheme="minorHAnsi" w:cstheme="minorHAnsi"/>
          <w:sz w:val="24"/>
          <w:szCs w:val="24"/>
        </w:rPr>
        <w:t xml:space="preserve"> </w:t>
      </w:r>
      <w:r w:rsidRPr="00D840AF">
        <w:rPr>
          <w:rFonts w:asciiTheme="minorHAnsi" w:hAnsiTheme="minorHAnsi" w:cstheme="minorHAnsi"/>
          <w:sz w:val="24"/>
          <w:szCs w:val="24"/>
        </w:rPr>
        <w:t xml:space="preserve"> Exceptions to this rule require permission of the home institution and a formal request for exception endorsed by the Department Chair and approved by the AD</w:t>
      </w:r>
      <w:r w:rsidR="007E5B96">
        <w:rPr>
          <w:rFonts w:asciiTheme="minorHAnsi" w:hAnsiTheme="minorHAnsi" w:cstheme="minorHAnsi"/>
          <w:sz w:val="24"/>
          <w:szCs w:val="24"/>
        </w:rPr>
        <w:t>AA</w:t>
      </w:r>
      <w:r w:rsidRPr="00D840AF">
        <w:rPr>
          <w:rFonts w:asciiTheme="minorHAnsi" w:hAnsiTheme="minorHAnsi" w:cstheme="minorHAnsi"/>
          <w:sz w:val="24"/>
          <w:szCs w:val="24"/>
        </w:rPr>
        <w:t xml:space="preserve">. </w:t>
      </w:r>
      <w:r w:rsidR="00C61A53">
        <w:rPr>
          <w:rFonts w:asciiTheme="minorHAnsi" w:hAnsiTheme="minorHAnsi" w:cstheme="minorHAnsi"/>
          <w:sz w:val="24"/>
          <w:szCs w:val="24"/>
        </w:rPr>
        <w:t xml:space="preserve"> </w:t>
      </w:r>
      <w:r w:rsidRPr="00D840AF">
        <w:rPr>
          <w:rFonts w:asciiTheme="minorHAnsi" w:hAnsiTheme="minorHAnsi" w:cstheme="minorHAnsi"/>
          <w:sz w:val="24"/>
          <w:szCs w:val="24"/>
        </w:rPr>
        <w:t xml:space="preserve">Appointing units may offer visiting research faculty appointments at any research faculty rank, consistent with the person's professional qualifications. </w:t>
      </w:r>
    </w:p>
    <w:p w:rsidR="00C76F2B" w:rsidRPr="00D840AF" w:rsidRDefault="00C76F2B" w:rsidP="00C76F2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55331" w:rsidRPr="00D840AF" w:rsidRDefault="00255331" w:rsidP="00C76F2B">
      <w:pPr>
        <w:spacing w:after="0"/>
        <w:rPr>
          <w:rFonts w:asciiTheme="minorHAnsi" w:hAnsiTheme="minorHAnsi" w:cstheme="minorHAnsi"/>
          <w:sz w:val="26"/>
          <w:szCs w:val="26"/>
        </w:rPr>
      </w:pPr>
      <w:bookmarkStart w:id="4" w:name="_Toc132781572"/>
      <w:bookmarkStart w:id="5" w:name="_Toc149988631"/>
      <w:r w:rsidRPr="00D840AF">
        <w:rPr>
          <w:rFonts w:asciiTheme="minorHAnsi" w:hAnsiTheme="minorHAnsi" w:cstheme="minorHAnsi"/>
          <w:b/>
          <w:sz w:val="26"/>
          <w:szCs w:val="26"/>
        </w:rPr>
        <w:t>Requests to Appoint Adjunct and Visiting Research Faculty</w:t>
      </w:r>
      <w:bookmarkEnd w:id="4"/>
      <w:bookmarkEnd w:id="5"/>
    </w:p>
    <w:p w:rsidR="009F5D2A" w:rsidRPr="00D840AF" w:rsidRDefault="00255331" w:rsidP="00C76F2B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D840AF">
        <w:rPr>
          <w:rFonts w:asciiTheme="minorHAnsi" w:hAnsiTheme="minorHAnsi" w:cstheme="minorHAnsi"/>
          <w:sz w:val="24"/>
          <w:szCs w:val="24"/>
        </w:rPr>
        <w:t>Adjunct and Visiting research faculty appointments require approval AD</w:t>
      </w:r>
      <w:r w:rsidR="007E5B96">
        <w:rPr>
          <w:rFonts w:asciiTheme="minorHAnsi" w:hAnsiTheme="minorHAnsi" w:cstheme="minorHAnsi"/>
          <w:sz w:val="24"/>
          <w:szCs w:val="24"/>
        </w:rPr>
        <w:t>AA</w:t>
      </w:r>
      <w:r w:rsidR="009F5D2A" w:rsidRPr="00D840AF">
        <w:rPr>
          <w:rFonts w:asciiTheme="minorHAnsi" w:hAnsiTheme="minorHAnsi" w:cstheme="minorHAnsi"/>
          <w:sz w:val="24"/>
          <w:szCs w:val="24"/>
        </w:rPr>
        <w:t xml:space="preserve"> approval only</w:t>
      </w:r>
      <w:r w:rsidRPr="00D840AF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C76F2B" w:rsidRPr="00D840AF" w:rsidRDefault="009F5D2A" w:rsidP="00C76F2B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inorHAnsi" w:hAnsiTheme="minorHAnsi" w:cstheme="minorHAnsi"/>
          <w:sz w:val="24"/>
          <w:szCs w:val="24"/>
        </w:rPr>
      </w:pPr>
      <w:r w:rsidRPr="00D840AF">
        <w:rPr>
          <w:rFonts w:asciiTheme="minorHAnsi" w:hAnsiTheme="minorHAnsi" w:cstheme="minorHAnsi"/>
          <w:sz w:val="24"/>
          <w:szCs w:val="24"/>
        </w:rPr>
        <w:t xml:space="preserve">Please submit the signed </w:t>
      </w:r>
      <w:r w:rsidR="00C76F2B" w:rsidRPr="00D840AF">
        <w:rPr>
          <w:rFonts w:asciiTheme="minorHAnsi" w:hAnsiTheme="minorHAnsi" w:cstheme="minorHAnsi"/>
          <w:sz w:val="24"/>
          <w:szCs w:val="24"/>
        </w:rPr>
        <w:t>‘</w:t>
      </w:r>
      <w:r w:rsidR="00210EC3" w:rsidRPr="00D840AF">
        <w:rPr>
          <w:rFonts w:asciiTheme="minorHAnsi" w:hAnsiTheme="minorHAnsi" w:cstheme="minorHAnsi"/>
          <w:sz w:val="24"/>
          <w:szCs w:val="24"/>
        </w:rPr>
        <w:t>Visiting and Adjunct Res</w:t>
      </w:r>
      <w:r w:rsidRPr="00D840AF">
        <w:rPr>
          <w:rFonts w:asciiTheme="minorHAnsi" w:hAnsiTheme="minorHAnsi" w:cstheme="minorHAnsi"/>
          <w:sz w:val="24"/>
          <w:szCs w:val="24"/>
        </w:rPr>
        <w:t>earch Faculty Request Form</w:t>
      </w:r>
      <w:r w:rsidR="00C76F2B" w:rsidRPr="00D840AF">
        <w:rPr>
          <w:rFonts w:asciiTheme="minorHAnsi" w:hAnsiTheme="minorHAnsi" w:cstheme="minorHAnsi"/>
          <w:sz w:val="24"/>
          <w:szCs w:val="24"/>
        </w:rPr>
        <w:t>’</w:t>
      </w:r>
      <w:r w:rsidRPr="00D840AF">
        <w:rPr>
          <w:rFonts w:asciiTheme="minorHAnsi" w:hAnsiTheme="minorHAnsi" w:cstheme="minorHAnsi"/>
          <w:sz w:val="24"/>
          <w:szCs w:val="24"/>
        </w:rPr>
        <w:t xml:space="preserve"> and</w:t>
      </w:r>
      <w:r w:rsidR="00074956">
        <w:rPr>
          <w:rFonts w:asciiTheme="minorHAnsi" w:hAnsiTheme="minorHAnsi" w:cstheme="minorHAnsi"/>
          <w:sz w:val="24"/>
          <w:szCs w:val="24"/>
        </w:rPr>
        <w:t xml:space="preserve"> the</w:t>
      </w:r>
      <w:r w:rsidRPr="00D840AF">
        <w:rPr>
          <w:rFonts w:asciiTheme="minorHAnsi" w:hAnsiTheme="minorHAnsi" w:cstheme="minorHAnsi"/>
          <w:sz w:val="24"/>
          <w:szCs w:val="24"/>
        </w:rPr>
        <w:t xml:space="preserve"> </w:t>
      </w:r>
      <w:r w:rsidR="00C76F2B" w:rsidRPr="00D840AF">
        <w:rPr>
          <w:rFonts w:asciiTheme="minorHAnsi" w:hAnsiTheme="minorHAnsi" w:cstheme="minorHAnsi"/>
          <w:sz w:val="24"/>
          <w:szCs w:val="24"/>
        </w:rPr>
        <w:t xml:space="preserve">candidate’s CV </w:t>
      </w:r>
      <w:r w:rsidR="00210EC3" w:rsidRPr="00D840AF">
        <w:rPr>
          <w:rFonts w:asciiTheme="minorHAnsi" w:hAnsiTheme="minorHAnsi" w:cstheme="minorHAnsi"/>
          <w:sz w:val="24"/>
          <w:szCs w:val="24"/>
        </w:rPr>
        <w:t xml:space="preserve">to </w:t>
      </w:r>
      <w:r w:rsidR="002263FC">
        <w:rPr>
          <w:rFonts w:asciiTheme="minorHAnsi" w:hAnsiTheme="minorHAnsi" w:cstheme="minorHAnsi"/>
          <w:sz w:val="24"/>
          <w:szCs w:val="24"/>
        </w:rPr>
        <w:t>Sherry Hall</w:t>
      </w:r>
      <w:bookmarkStart w:id="6" w:name="_GoBack"/>
      <w:bookmarkEnd w:id="6"/>
      <w:r w:rsidR="007E5B96">
        <w:rPr>
          <w:rFonts w:asciiTheme="minorHAnsi" w:hAnsiTheme="minorHAnsi" w:cstheme="minorHAnsi"/>
          <w:sz w:val="24"/>
          <w:szCs w:val="24"/>
        </w:rPr>
        <w:t xml:space="preserve"> </w:t>
      </w:r>
      <w:r w:rsidR="00210EC3" w:rsidRPr="00D840AF">
        <w:rPr>
          <w:rFonts w:asciiTheme="minorHAnsi" w:hAnsiTheme="minorHAnsi" w:cstheme="minorHAnsi"/>
          <w:sz w:val="24"/>
          <w:szCs w:val="24"/>
        </w:rPr>
        <w:t>(</w:t>
      </w:r>
      <w:hyperlink r:id="rId6" w:history="1">
        <w:r w:rsidR="0055418E" w:rsidRPr="00885D79">
          <w:rPr>
            <w:rStyle w:val="Hyperlink"/>
            <w:rFonts w:asciiTheme="minorHAnsi" w:hAnsiTheme="minorHAnsi" w:cstheme="minorHAnsi"/>
            <w:sz w:val="24"/>
            <w:szCs w:val="24"/>
          </w:rPr>
          <w:t>sfolsom@umich.edu</w:t>
        </w:r>
      </w:hyperlink>
      <w:r w:rsidR="00210EC3" w:rsidRPr="00D840AF">
        <w:rPr>
          <w:rFonts w:asciiTheme="minorHAnsi" w:hAnsiTheme="minorHAnsi" w:cstheme="minorHAnsi"/>
          <w:sz w:val="24"/>
          <w:szCs w:val="24"/>
        </w:rPr>
        <w:t xml:space="preserve">, </w:t>
      </w:r>
      <w:r w:rsidR="007E5B96">
        <w:rPr>
          <w:rFonts w:asciiTheme="minorHAnsi" w:hAnsiTheme="minorHAnsi" w:cstheme="minorHAnsi"/>
          <w:sz w:val="24"/>
          <w:szCs w:val="24"/>
        </w:rPr>
        <w:t>24</w:t>
      </w:r>
      <w:r w:rsidR="0055418E">
        <w:rPr>
          <w:rFonts w:asciiTheme="minorHAnsi" w:hAnsiTheme="minorHAnsi" w:cstheme="minorHAnsi"/>
          <w:sz w:val="24"/>
          <w:szCs w:val="24"/>
        </w:rPr>
        <w:t>46</w:t>
      </w:r>
      <w:r w:rsidR="00210EC3" w:rsidRPr="00D840AF">
        <w:rPr>
          <w:rFonts w:asciiTheme="minorHAnsi" w:hAnsiTheme="minorHAnsi" w:cstheme="minorHAnsi"/>
          <w:sz w:val="24"/>
          <w:szCs w:val="24"/>
        </w:rPr>
        <w:t xml:space="preserve"> LEC, 2102).</w:t>
      </w:r>
      <w:r w:rsidR="0055418E">
        <w:rPr>
          <w:rFonts w:asciiTheme="minorHAnsi" w:hAnsiTheme="minorHAnsi" w:cstheme="minorHAnsi"/>
          <w:b/>
          <w:sz w:val="24"/>
          <w:szCs w:val="24"/>
        </w:rPr>
        <w:t>*</w:t>
      </w:r>
    </w:p>
    <w:p w:rsidR="009F5D2A" w:rsidRPr="00D840AF" w:rsidRDefault="009F5D2A" w:rsidP="00C76F2B">
      <w:pPr>
        <w:pStyle w:val="ListParagraph"/>
        <w:numPr>
          <w:ilvl w:val="0"/>
          <w:numId w:val="3"/>
        </w:numPr>
        <w:tabs>
          <w:tab w:val="left" w:pos="360"/>
        </w:tabs>
        <w:spacing w:after="60" w:line="240" w:lineRule="auto"/>
        <w:contextualSpacing w:val="0"/>
        <w:rPr>
          <w:rFonts w:ascii="Calibri" w:hAnsi="Calibri"/>
          <w:sz w:val="24"/>
          <w:szCs w:val="24"/>
        </w:rPr>
      </w:pPr>
      <w:r w:rsidRPr="00D840AF">
        <w:rPr>
          <w:rFonts w:ascii="Calibri" w:hAnsi="Calibri"/>
          <w:sz w:val="24"/>
          <w:szCs w:val="24"/>
        </w:rPr>
        <w:t xml:space="preserve">If approved, the department will need to prepare the necessary HR forms to complete the appointment and forward these forms to the </w:t>
      </w:r>
      <w:proofErr w:type="spellStart"/>
      <w:r w:rsidRPr="00D840AF">
        <w:rPr>
          <w:rFonts w:ascii="Calibri" w:hAnsi="Calibri"/>
          <w:sz w:val="24"/>
          <w:szCs w:val="24"/>
        </w:rPr>
        <w:t>CoE</w:t>
      </w:r>
      <w:proofErr w:type="spellEnd"/>
      <w:r w:rsidRPr="00D840AF">
        <w:rPr>
          <w:rFonts w:ascii="Calibri" w:hAnsi="Calibri"/>
          <w:sz w:val="24"/>
          <w:szCs w:val="24"/>
        </w:rPr>
        <w:t xml:space="preserve"> Human Resources office (Kathy Boblitt, </w:t>
      </w:r>
      <w:hyperlink r:id="rId7" w:history="1">
        <w:r w:rsidRPr="00D840AF">
          <w:rPr>
            <w:rStyle w:val="Hyperlink"/>
            <w:rFonts w:ascii="Calibri" w:hAnsi="Calibri"/>
            <w:sz w:val="24"/>
            <w:szCs w:val="24"/>
          </w:rPr>
          <w:t>kboblitt@umich.edu</w:t>
        </w:r>
      </w:hyperlink>
      <w:r w:rsidRPr="00D840AF">
        <w:rPr>
          <w:rFonts w:ascii="Calibri" w:hAnsi="Calibri"/>
          <w:sz w:val="24"/>
          <w:szCs w:val="24"/>
        </w:rPr>
        <w:t xml:space="preserve">, 2432 LEC, 2102).  </w:t>
      </w:r>
      <w:proofErr w:type="spellStart"/>
      <w:r w:rsidRPr="00D840AF">
        <w:rPr>
          <w:rFonts w:ascii="Calibri" w:hAnsi="Calibri"/>
          <w:sz w:val="24"/>
          <w:szCs w:val="24"/>
        </w:rPr>
        <w:t>CoE</w:t>
      </w:r>
      <w:proofErr w:type="spellEnd"/>
      <w:r w:rsidRPr="00D840AF">
        <w:rPr>
          <w:rFonts w:ascii="Calibri" w:hAnsi="Calibri"/>
          <w:sz w:val="24"/>
          <w:szCs w:val="24"/>
        </w:rPr>
        <w:t xml:space="preserve"> Human Resources will forward appointment paperwork to Human Resources Records and Information Services (4073 Wolverine Tower 1281).</w:t>
      </w:r>
    </w:p>
    <w:p w:rsidR="009F5D2A" w:rsidRPr="00D840AF" w:rsidRDefault="009F5D2A" w:rsidP="00C76F2B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inorHAnsi" w:hAnsiTheme="minorHAnsi" w:cstheme="minorHAnsi"/>
          <w:sz w:val="24"/>
          <w:szCs w:val="24"/>
        </w:rPr>
      </w:pPr>
      <w:r w:rsidRPr="00D840AF">
        <w:rPr>
          <w:rFonts w:asciiTheme="minorHAnsi" w:hAnsiTheme="minorHAnsi" w:cstheme="minorHAnsi"/>
          <w:sz w:val="24"/>
          <w:szCs w:val="24"/>
        </w:rPr>
        <w:t>The department makes offer to candidate and sends a copy of the signed offer letter to the Office of the AD</w:t>
      </w:r>
      <w:r w:rsidR="007E5B96">
        <w:rPr>
          <w:rFonts w:asciiTheme="minorHAnsi" w:hAnsiTheme="minorHAnsi" w:cstheme="minorHAnsi"/>
          <w:sz w:val="24"/>
          <w:szCs w:val="24"/>
        </w:rPr>
        <w:t>AA</w:t>
      </w:r>
      <w:r w:rsidRPr="00D840AF">
        <w:rPr>
          <w:rFonts w:asciiTheme="minorHAnsi" w:hAnsiTheme="minorHAnsi" w:cstheme="minorHAnsi"/>
          <w:sz w:val="24"/>
          <w:szCs w:val="24"/>
        </w:rPr>
        <w:t xml:space="preserve"> (</w:t>
      </w:r>
      <w:r w:rsidR="007E5B96">
        <w:rPr>
          <w:rFonts w:asciiTheme="minorHAnsi" w:hAnsiTheme="minorHAnsi" w:cstheme="minorHAnsi"/>
          <w:sz w:val="24"/>
          <w:szCs w:val="24"/>
        </w:rPr>
        <w:t>2466</w:t>
      </w:r>
      <w:r w:rsidRPr="00D840AF">
        <w:rPr>
          <w:rFonts w:asciiTheme="minorHAnsi" w:hAnsiTheme="minorHAnsi" w:cstheme="minorHAnsi"/>
          <w:sz w:val="24"/>
          <w:szCs w:val="24"/>
        </w:rPr>
        <w:t xml:space="preserve"> LEC, 2102)</w:t>
      </w:r>
    </w:p>
    <w:p w:rsidR="009F5D2A" w:rsidRPr="00D840AF" w:rsidRDefault="009F5D2A" w:rsidP="009F5D2A">
      <w:pPr>
        <w:rPr>
          <w:rFonts w:asciiTheme="minorHAnsi" w:hAnsiTheme="minorHAnsi" w:cstheme="minorHAnsi"/>
          <w:sz w:val="24"/>
          <w:szCs w:val="24"/>
        </w:rPr>
      </w:pPr>
    </w:p>
    <w:p w:rsidR="009F5D2A" w:rsidRPr="00D840AF" w:rsidRDefault="009F5D2A" w:rsidP="009F5D2A">
      <w:pPr>
        <w:rPr>
          <w:rFonts w:asciiTheme="minorHAnsi" w:hAnsiTheme="minorHAnsi" w:cstheme="minorHAnsi"/>
          <w:sz w:val="24"/>
          <w:szCs w:val="24"/>
        </w:rPr>
      </w:pPr>
      <w:r w:rsidRPr="00D840AF">
        <w:rPr>
          <w:rFonts w:asciiTheme="minorHAnsi" w:hAnsiTheme="minorHAnsi" w:cstheme="minorHAnsi"/>
          <w:b/>
          <w:sz w:val="24"/>
          <w:szCs w:val="24"/>
        </w:rPr>
        <w:t>*</w:t>
      </w:r>
      <w:r w:rsidRPr="00D840AF">
        <w:rPr>
          <w:rFonts w:asciiTheme="minorHAnsi" w:hAnsiTheme="minorHAnsi" w:cstheme="minorHAnsi"/>
          <w:sz w:val="24"/>
          <w:szCs w:val="24"/>
        </w:rPr>
        <w:t xml:space="preserve">Departments are free to </w:t>
      </w:r>
      <w:r w:rsidR="00074956">
        <w:rPr>
          <w:rFonts w:asciiTheme="minorHAnsi" w:hAnsiTheme="minorHAnsi" w:cstheme="minorHAnsi"/>
          <w:sz w:val="24"/>
          <w:szCs w:val="24"/>
        </w:rPr>
        <w:t>use</w:t>
      </w:r>
      <w:r w:rsidRPr="00D840AF">
        <w:rPr>
          <w:rFonts w:asciiTheme="minorHAnsi" w:hAnsiTheme="minorHAnsi" w:cstheme="minorHAnsi"/>
          <w:sz w:val="24"/>
          <w:szCs w:val="24"/>
        </w:rPr>
        <w:t xml:space="preserve"> their own request forms.</w:t>
      </w:r>
    </w:p>
    <w:p w:rsidR="003C3519" w:rsidRPr="00D840AF" w:rsidRDefault="003C3519">
      <w:pPr>
        <w:rPr>
          <w:rFonts w:asciiTheme="minorHAnsi" w:hAnsiTheme="minorHAnsi" w:cstheme="minorHAnsi"/>
          <w:sz w:val="24"/>
          <w:szCs w:val="24"/>
        </w:rPr>
      </w:pPr>
    </w:p>
    <w:sectPr w:rsidR="003C3519" w:rsidRPr="00D840AF" w:rsidSect="003C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62AB"/>
    <w:multiLevelType w:val="hybridMultilevel"/>
    <w:tmpl w:val="4B7C596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225EF"/>
    <w:multiLevelType w:val="hybridMultilevel"/>
    <w:tmpl w:val="FBC2C6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51A88"/>
    <w:multiLevelType w:val="hybridMultilevel"/>
    <w:tmpl w:val="1D26C1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55331"/>
    <w:rsid w:val="00074956"/>
    <w:rsid w:val="00210EC3"/>
    <w:rsid w:val="002263FC"/>
    <w:rsid w:val="00255331"/>
    <w:rsid w:val="003C3519"/>
    <w:rsid w:val="0051152B"/>
    <w:rsid w:val="0055418E"/>
    <w:rsid w:val="006C055F"/>
    <w:rsid w:val="007E5B96"/>
    <w:rsid w:val="009D1EBF"/>
    <w:rsid w:val="009F5D2A"/>
    <w:rsid w:val="00C61A53"/>
    <w:rsid w:val="00C76F2B"/>
    <w:rsid w:val="00C77063"/>
    <w:rsid w:val="00D465A2"/>
    <w:rsid w:val="00D840AF"/>
    <w:rsid w:val="00DD546C"/>
    <w:rsid w:val="00E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5A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0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boblitt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olsom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</dc:creator>
  <cp:lastModifiedBy>Hall, Sherry</cp:lastModifiedBy>
  <cp:revision>5</cp:revision>
  <dcterms:created xsi:type="dcterms:W3CDTF">2012-03-13T21:02:00Z</dcterms:created>
  <dcterms:modified xsi:type="dcterms:W3CDTF">2015-02-05T16:17:00Z</dcterms:modified>
</cp:coreProperties>
</file>